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779F" w:rsidRPr="003D14D6" w:rsidRDefault="003D14D6" w:rsidP="003D14D6">
      <w:pPr>
        <w:pStyle w:val="IQB-Aufgabentitel"/>
        <w:pBdr>
          <w:top w:val="none" w:sz="0" w:space="0" w:color="auto"/>
          <w:bottom w:val="none" w:sz="0" w:space="0" w:color="auto"/>
        </w:pBdr>
        <w:jc w:val="left"/>
        <w:rPr>
          <w:sz w:val="28"/>
        </w:rPr>
      </w:pPr>
      <w:r w:rsidRPr="003D14D6">
        <w:rPr>
          <w:sz w:val="28"/>
        </w:rPr>
        <w:t xml:space="preserve">Didaktische </w:t>
      </w:r>
      <w:r w:rsidRPr="003D14D6">
        <w:rPr>
          <w:sz w:val="28"/>
        </w:rPr>
        <w:t>Handreichung: Freizeitbeschäftigungen</w:t>
      </w:r>
    </w:p>
    <w:p w:rsidR="003D14D6" w:rsidRPr="003D14D6" w:rsidRDefault="003D14D6">
      <w:pPr>
        <w:pStyle w:val="IQB-Teilaufgabentitel"/>
        <w:rPr>
          <w:b/>
        </w:rPr>
      </w:pPr>
      <w:r w:rsidRPr="003D14D6">
        <w:rPr>
          <w:b/>
        </w:rPr>
        <w:t xml:space="preserve">Merkmale der </w:t>
      </w:r>
      <w:r w:rsidRPr="003D14D6">
        <w:rPr>
          <w:b/>
        </w:rPr>
        <w:t>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3D14D6" w:rsidTr="00CB28B5">
        <w:tc>
          <w:tcPr>
            <w:tcW w:w="2466" w:type="dxa"/>
            <w:vAlign w:val="center"/>
          </w:tcPr>
          <w:p w:rsidR="003D14D6" w:rsidRDefault="003D14D6" w:rsidP="00CB28B5">
            <w:pPr>
              <w:pStyle w:val="IQB-Merkmal"/>
            </w:pPr>
            <w:r>
              <w:t>Leitidee</w:t>
            </w:r>
          </w:p>
        </w:tc>
        <w:tc>
          <w:tcPr>
            <w:tcW w:w="6604" w:type="dxa"/>
          </w:tcPr>
          <w:p w:rsidR="003D14D6" w:rsidRDefault="003D14D6" w:rsidP="00CB28B5">
            <w:pPr>
              <w:pStyle w:val="IQB-Merkmalswert"/>
            </w:pPr>
            <w:r>
              <w:t>5. Daten und Zufall</w:t>
            </w:r>
          </w:p>
        </w:tc>
      </w:tr>
      <w:tr w:rsidR="003D14D6" w:rsidTr="00CB28B5">
        <w:tc>
          <w:tcPr>
            <w:tcW w:w="2466" w:type="dxa"/>
            <w:vAlign w:val="center"/>
          </w:tcPr>
          <w:p w:rsidR="003D14D6" w:rsidRDefault="003D14D6" w:rsidP="00CB28B5">
            <w:pPr>
              <w:pStyle w:val="IQB-Merkmal"/>
            </w:pPr>
            <w:r>
              <w:t>Allgemeine Kompetenz</w:t>
            </w:r>
          </w:p>
        </w:tc>
        <w:tc>
          <w:tcPr>
            <w:tcW w:w="6604" w:type="dxa"/>
          </w:tcPr>
          <w:p w:rsidR="003D14D6" w:rsidRDefault="003D14D6" w:rsidP="00CB28B5">
            <w:pPr>
              <w:pStyle w:val="IQB-Merkmalswert"/>
            </w:pPr>
            <w:r>
              <w:t>Mathematische Darstellungen verwenden (K4)</w:t>
            </w:r>
          </w:p>
        </w:tc>
      </w:tr>
      <w:tr w:rsidR="003D14D6" w:rsidTr="00CB28B5">
        <w:tc>
          <w:tcPr>
            <w:tcW w:w="2466" w:type="dxa"/>
            <w:vAlign w:val="center"/>
          </w:tcPr>
          <w:p w:rsidR="003D14D6" w:rsidRDefault="003D14D6" w:rsidP="00CB28B5">
            <w:pPr>
              <w:pStyle w:val="IQB-Merkmal"/>
            </w:pPr>
            <w:r>
              <w:t>Anforderungsbereich</w:t>
            </w:r>
          </w:p>
        </w:tc>
        <w:tc>
          <w:tcPr>
            <w:tcW w:w="6604" w:type="dxa"/>
          </w:tcPr>
          <w:p w:rsidR="003D14D6" w:rsidRDefault="003D14D6" w:rsidP="00CB28B5">
            <w:pPr>
              <w:pStyle w:val="IQB-Merkmalswert"/>
            </w:pPr>
            <w:r>
              <w:t>I</w:t>
            </w:r>
          </w:p>
        </w:tc>
      </w:tr>
      <w:tr w:rsidR="003D14D6" w:rsidTr="00CB28B5">
        <w:tc>
          <w:tcPr>
            <w:tcW w:w="2466" w:type="dxa"/>
            <w:vAlign w:val="center"/>
          </w:tcPr>
          <w:p w:rsidR="003D14D6" w:rsidRDefault="003D14D6" w:rsidP="00CB28B5">
            <w:pPr>
              <w:pStyle w:val="IQB-Merkmal"/>
            </w:pPr>
            <w:r>
              <w:t>Kompetenzstufe</w:t>
            </w:r>
          </w:p>
        </w:tc>
        <w:tc>
          <w:tcPr>
            <w:tcW w:w="6604" w:type="dxa"/>
          </w:tcPr>
          <w:p w:rsidR="003D14D6" w:rsidRDefault="003D14D6" w:rsidP="00CB28B5">
            <w:pPr>
              <w:pStyle w:val="IQB-Merkmalswert"/>
            </w:pPr>
            <w:r>
              <w:t>1b</w:t>
            </w:r>
          </w:p>
        </w:tc>
      </w:tr>
    </w:tbl>
    <w:p w:rsidR="003D14D6" w:rsidRPr="003D14D6" w:rsidRDefault="003D14D6">
      <w:pPr>
        <w:pStyle w:val="IQB-Teilaufgabentitel"/>
        <w:rPr>
          <w:b/>
        </w:rPr>
      </w:pPr>
      <w:r w:rsidRPr="003D14D6">
        <w:rPr>
          <w:b/>
        </w:rPr>
        <w:t xml:space="preserve">Merkmale der </w:t>
      </w:r>
      <w:r w:rsidRPr="003D14D6">
        <w:rPr>
          <w:b/>
        </w:rPr>
        <w:t>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3D14D6" w:rsidTr="00CB28B5">
        <w:tc>
          <w:tcPr>
            <w:tcW w:w="2466" w:type="dxa"/>
            <w:vAlign w:val="center"/>
          </w:tcPr>
          <w:p w:rsidR="003D14D6" w:rsidRDefault="003D14D6" w:rsidP="00CB28B5">
            <w:pPr>
              <w:pStyle w:val="IQB-Merkmal"/>
            </w:pPr>
            <w:r>
              <w:t>Leitidee</w:t>
            </w:r>
          </w:p>
        </w:tc>
        <w:tc>
          <w:tcPr>
            <w:tcW w:w="6604" w:type="dxa"/>
          </w:tcPr>
          <w:p w:rsidR="003D14D6" w:rsidRDefault="003D14D6" w:rsidP="00CB28B5">
            <w:pPr>
              <w:pStyle w:val="IQB-Merkmalswert"/>
            </w:pPr>
            <w:r>
              <w:t>5. Daten und Zufall</w:t>
            </w:r>
          </w:p>
        </w:tc>
      </w:tr>
      <w:tr w:rsidR="003D14D6" w:rsidTr="00CB28B5">
        <w:tc>
          <w:tcPr>
            <w:tcW w:w="2466" w:type="dxa"/>
            <w:vAlign w:val="center"/>
          </w:tcPr>
          <w:p w:rsidR="003D14D6" w:rsidRDefault="003D14D6" w:rsidP="00CB28B5">
            <w:pPr>
              <w:pStyle w:val="IQB-Merkmal"/>
            </w:pPr>
            <w:r>
              <w:t>Allgemeine Kompetenz</w:t>
            </w:r>
          </w:p>
        </w:tc>
        <w:tc>
          <w:tcPr>
            <w:tcW w:w="6604" w:type="dxa"/>
          </w:tcPr>
          <w:p w:rsidR="003D14D6" w:rsidRDefault="003D14D6" w:rsidP="00CB28B5">
            <w:pPr>
              <w:pStyle w:val="IQB-Merkmalswert"/>
            </w:pPr>
            <w:r>
              <w:t>Mathematische Darstellungen verwenden (K4)</w:t>
            </w:r>
          </w:p>
        </w:tc>
      </w:tr>
      <w:tr w:rsidR="003D14D6" w:rsidTr="00CB28B5">
        <w:tc>
          <w:tcPr>
            <w:tcW w:w="2466" w:type="dxa"/>
            <w:vAlign w:val="center"/>
          </w:tcPr>
          <w:p w:rsidR="003D14D6" w:rsidRDefault="003D14D6" w:rsidP="00CB28B5">
            <w:pPr>
              <w:pStyle w:val="IQB-Merkmal"/>
            </w:pPr>
            <w:r>
              <w:t>Anforderungsbereich</w:t>
            </w:r>
          </w:p>
        </w:tc>
        <w:tc>
          <w:tcPr>
            <w:tcW w:w="6604" w:type="dxa"/>
          </w:tcPr>
          <w:p w:rsidR="003D14D6" w:rsidRDefault="003D14D6" w:rsidP="00CB28B5">
            <w:pPr>
              <w:pStyle w:val="IQB-Merkmalswert"/>
            </w:pPr>
            <w:r>
              <w:t>I</w:t>
            </w:r>
          </w:p>
        </w:tc>
      </w:tr>
      <w:tr w:rsidR="003D14D6" w:rsidTr="00CB28B5">
        <w:tc>
          <w:tcPr>
            <w:tcW w:w="2466" w:type="dxa"/>
            <w:vAlign w:val="center"/>
          </w:tcPr>
          <w:p w:rsidR="003D14D6" w:rsidRDefault="003D14D6" w:rsidP="00CB28B5">
            <w:pPr>
              <w:pStyle w:val="IQB-Merkmal"/>
            </w:pPr>
            <w:r>
              <w:t>Kompetenzstufe</w:t>
            </w:r>
          </w:p>
        </w:tc>
        <w:tc>
          <w:tcPr>
            <w:tcW w:w="6604" w:type="dxa"/>
          </w:tcPr>
          <w:p w:rsidR="003D14D6" w:rsidRDefault="003D14D6" w:rsidP="00CB28B5">
            <w:pPr>
              <w:pStyle w:val="IQB-Merkmalswert"/>
            </w:pPr>
            <w:r>
              <w:t>1a</w:t>
            </w:r>
          </w:p>
        </w:tc>
      </w:tr>
    </w:tbl>
    <w:p w:rsidR="003D14D6" w:rsidRDefault="003D14D6">
      <w:pPr>
        <w:pStyle w:val="IQB-Teilaufgabentitel"/>
      </w:pPr>
      <w:r>
        <w:t xml:space="preserve">Merkmale der </w:t>
      </w:r>
      <w:r>
        <w:t>Teilaufgabe 3</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3D14D6" w:rsidTr="00CB28B5">
        <w:tc>
          <w:tcPr>
            <w:tcW w:w="2466" w:type="dxa"/>
            <w:vAlign w:val="center"/>
          </w:tcPr>
          <w:p w:rsidR="003D14D6" w:rsidRDefault="003D14D6" w:rsidP="00CB28B5">
            <w:pPr>
              <w:pStyle w:val="IQB-Merkmal"/>
            </w:pPr>
            <w:r>
              <w:t>Leitidee</w:t>
            </w:r>
          </w:p>
        </w:tc>
        <w:tc>
          <w:tcPr>
            <w:tcW w:w="6604" w:type="dxa"/>
          </w:tcPr>
          <w:p w:rsidR="003D14D6" w:rsidRDefault="003D14D6" w:rsidP="00CB28B5">
            <w:pPr>
              <w:pStyle w:val="IQB-Merkmalswert"/>
            </w:pPr>
            <w:r>
              <w:t>5. Daten und Zufall</w:t>
            </w:r>
          </w:p>
        </w:tc>
      </w:tr>
      <w:tr w:rsidR="003D14D6" w:rsidTr="00CB28B5">
        <w:tc>
          <w:tcPr>
            <w:tcW w:w="2466" w:type="dxa"/>
            <w:vAlign w:val="center"/>
          </w:tcPr>
          <w:p w:rsidR="003D14D6" w:rsidRDefault="003D14D6" w:rsidP="00CB28B5">
            <w:pPr>
              <w:pStyle w:val="IQB-Merkmal"/>
            </w:pPr>
            <w:r>
              <w:t>Allgemeine Kompetenz</w:t>
            </w:r>
          </w:p>
        </w:tc>
        <w:tc>
          <w:tcPr>
            <w:tcW w:w="6604" w:type="dxa"/>
          </w:tcPr>
          <w:p w:rsidR="003D14D6" w:rsidRDefault="003D14D6" w:rsidP="00CB28B5">
            <w:pPr>
              <w:pStyle w:val="IQB-Merkmalswert"/>
            </w:pPr>
            <w:r>
              <w:t>Probleme mathematisch lösen (K2),</w:t>
            </w:r>
          </w:p>
          <w:p w:rsidR="003D14D6" w:rsidRDefault="003D14D6" w:rsidP="00CB28B5">
            <w:pPr>
              <w:pStyle w:val="IQB-Merkmalswert"/>
            </w:pPr>
            <w:r>
              <w:t>Mathematische Darstellungen verwenden (K4),</w:t>
            </w:r>
          </w:p>
          <w:p w:rsidR="003D14D6" w:rsidRDefault="003D14D6" w:rsidP="00CB28B5">
            <w:pPr>
              <w:pStyle w:val="IQB-Merkmalswert"/>
            </w:pPr>
            <w:r>
              <w:t xml:space="preserve"> Mathematisch kommunizieren (K6)</w:t>
            </w:r>
          </w:p>
        </w:tc>
      </w:tr>
      <w:tr w:rsidR="003D14D6" w:rsidTr="00CB28B5">
        <w:tc>
          <w:tcPr>
            <w:tcW w:w="2466" w:type="dxa"/>
            <w:vAlign w:val="center"/>
          </w:tcPr>
          <w:p w:rsidR="003D14D6" w:rsidRDefault="003D14D6" w:rsidP="00CB28B5">
            <w:pPr>
              <w:pStyle w:val="IQB-Merkmal"/>
            </w:pPr>
            <w:r>
              <w:t>Anforderungsbereich</w:t>
            </w:r>
          </w:p>
        </w:tc>
        <w:tc>
          <w:tcPr>
            <w:tcW w:w="6604" w:type="dxa"/>
          </w:tcPr>
          <w:p w:rsidR="003D14D6" w:rsidRDefault="003D14D6" w:rsidP="00CB28B5">
            <w:pPr>
              <w:pStyle w:val="IQB-Merkmalswert"/>
            </w:pPr>
            <w:r>
              <w:t>III</w:t>
            </w:r>
          </w:p>
        </w:tc>
      </w:tr>
      <w:tr w:rsidR="003D14D6" w:rsidTr="00CB28B5">
        <w:tc>
          <w:tcPr>
            <w:tcW w:w="2466" w:type="dxa"/>
            <w:vAlign w:val="center"/>
          </w:tcPr>
          <w:p w:rsidR="003D14D6" w:rsidRDefault="003D14D6" w:rsidP="00CB28B5">
            <w:pPr>
              <w:pStyle w:val="IQB-Merkmal"/>
            </w:pPr>
            <w:r>
              <w:t>Kompetenzstufe</w:t>
            </w:r>
          </w:p>
        </w:tc>
        <w:tc>
          <w:tcPr>
            <w:tcW w:w="6604" w:type="dxa"/>
          </w:tcPr>
          <w:p w:rsidR="003D14D6" w:rsidRDefault="003D14D6" w:rsidP="00CB28B5">
            <w:pPr>
              <w:pStyle w:val="IQB-Merkmalswert"/>
            </w:pPr>
            <w:r>
              <w:t>4</w:t>
            </w:r>
          </w:p>
        </w:tc>
      </w:tr>
    </w:tbl>
    <w:p w:rsidR="003D14D6" w:rsidRPr="003D14D6" w:rsidRDefault="003D14D6" w:rsidP="003D14D6">
      <w:pPr>
        <w:pStyle w:val="IQB-Teilaufgabentitel"/>
        <w:rPr>
          <w:b/>
        </w:rPr>
      </w:pPr>
      <w:r w:rsidRPr="003D14D6">
        <w:rPr>
          <w:b/>
        </w:rPr>
        <w:t>Aufgabenbezogener Kommentar</w:t>
      </w:r>
    </w:p>
    <w:p w:rsidR="003D14D6" w:rsidRDefault="003D14D6" w:rsidP="003D14D6">
      <w:pPr>
        <w:pStyle w:val="Flietext"/>
      </w:pPr>
      <w:r>
        <w:t>Diese Aufgabe ist der Leitidee Daten und Zufall (L5) zuzuordnen, da Daten einer Umfrage auszuwerten und zu interpretieren sind.</w:t>
      </w:r>
    </w:p>
    <w:p w:rsidR="003D14D6" w:rsidRDefault="003D14D6" w:rsidP="003D14D6">
      <w:pPr>
        <w:pStyle w:val="Flietext"/>
      </w:pPr>
      <w:r>
        <w:t>In Teilaufgabe 14.1 sind die in einem Säulendiagramm dargestellten Anzahlen der zu den Freizeit</w:t>
      </w:r>
      <w:r>
        <w:softHyphen/>
        <w:t>beschäftigungen befragten Schülerinnen und Schüler beider Jahrgangsstufen abzulesen (K4) und zu addieren.</w:t>
      </w:r>
      <w:bookmarkStart w:id="0" w:name="_GoBack"/>
      <w:bookmarkEnd w:id="0"/>
    </w:p>
    <w:p w:rsidR="003D14D6" w:rsidRDefault="003D14D6" w:rsidP="003D14D6">
      <w:pPr>
        <w:pStyle w:val="Flietext"/>
      </w:pPr>
      <w:r>
        <w:t>Der Darstellung ist mit Blick auf Teilaufgabe 14.2 weiter zu entnehmen, welche Freizeitbe</w:t>
      </w:r>
      <w:r>
        <w:softHyphen/>
        <w:t>schäftigungen jeweils im Jahrgang 7 oder 8 beliebter waren, indem die Anzahl der Schülerinnen und Schüler der beiden Jahrgänge zu den einzelnen Freizeitbeschäftigungen verglichen werden (K4). In Teilaufgabe 14.3 ist dem Aufgabentext der Bezug zu Abbildung 1 zu entnehmen und zu überlegen, was das neue Diagramm darstellen soll (K2), nämlich den Unterschied bezüglich der Nennungen der Lieblingsbeschäftigungen zwischen Jahrgangsstufe 8 und Jahrgangsstufe 7 (K4).</w:t>
      </w:r>
    </w:p>
    <w:p w:rsidR="003D14D6" w:rsidRDefault="003D14D6" w:rsidP="003D14D6">
      <w:pPr>
        <w:pStyle w:val="Flietext"/>
      </w:pPr>
      <w:r>
        <w:t>Anhand dieser Analyse ist die Aussage des Diagramms in Form einer Beschreibung in natürliche Sprache zu übertragen (K6) und darüber hinaus für eine eigene Weiterführung des Diagramms zu nutzen (K4).</w:t>
      </w:r>
    </w:p>
    <w:p w:rsidR="003D14D6" w:rsidRDefault="003D14D6" w:rsidP="003D14D6">
      <w:pPr>
        <w:pStyle w:val="Flietext"/>
      </w:pPr>
      <w:r>
        <w:t>Die Teilaufgaben 14.1 und 14.2 erfordern den Umgang mit einer vertrauten Darstellung in Form eines einfachen Diagramms und sind daher dem Anforderungsbereich I zuzuordnen.</w:t>
      </w:r>
    </w:p>
    <w:p w:rsidR="003D14D6" w:rsidRDefault="003D14D6" w:rsidP="003D14D6">
      <w:pPr>
        <w:pStyle w:val="Flietext"/>
      </w:pPr>
      <w:r>
        <w:t>Teilaufgabe 14.3 stellt deutlich komplexere Anforderungen und kann insbesondere wegen ihrer Anforderung an den Umgang mit der weniger vertrauten Darstellung des negativen Bereichs und der nötigen inhaltlichen Deutung eines gegebenen Diagramms bereits dem Anforderungsbereich III zugeordnet werden.</w:t>
      </w:r>
    </w:p>
    <w:p w:rsidR="003D14D6" w:rsidRDefault="003D14D6" w:rsidP="003D14D6">
      <w:pPr>
        <w:pStyle w:val="Flietext"/>
      </w:pPr>
    </w:p>
    <w:p w:rsidR="003D14D6" w:rsidRDefault="003D14D6" w:rsidP="003D14D6">
      <w:pPr>
        <w:pStyle w:val="Flietext"/>
      </w:pPr>
      <w:r>
        <w:t>Folgende Schwierigkeiten und Fehler sind zu erwarten:</w:t>
      </w:r>
    </w:p>
    <w:p w:rsidR="003D14D6" w:rsidRDefault="003D14D6" w:rsidP="003D14D6">
      <w:pPr>
        <w:pStyle w:val="Flietext"/>
      </w:pPr>
      <w:r>
        <w:t>Zu Teilaufgabe 14.1:</w:t>
      </w:r>
    </w:p>
    <w:p w:rsidR="003D14D6" w:rsidRDefault="003D14D6" w:rsidP="003D14D6">
      <w:pPr>
        <w:pStyle w:val="Flietext"/>
        <w:numPr>
          <w:ilvl w:val="0"/>
          <w:numId w:val="6"/>
        </w:numPr>
      </w:pPr>
      <w:r>
        <w:t xml:space="preserve">Der Darstellung kann die Gesamtanzahl der Befragten nicht entnommen werden. So wird für die Gesamtanzahl beispielsweise der höchste Wert des Diagramms entnommen oder </w:t>
      </w:r>
      <w:r>
        <w:lastRenderedPageBreak/>
        <w:t>die jeweils höchsten Werte der Jahrgangsstufen werden addiert, wie folgende Schülerlösungen zeigen:</w:t>
      </w:r>
    </w:p>
    <w:p w:rsidR="003D14D6" w:rsidRDefault="003D14D6" w:rsidP="003D14D6">
      <w:pPr>
        <w:pStyle w:val="Flietext"/>
        <w:ind w:left="720"/>
      </w:pPr>
      <w:r w:rsidRPr="00574125">
        <w:rPr>
          <w:noProof/>
        </w:rPr>
        <w:drawing>
          <wp:inline distT="0" distB="0" distL="0" distR="0">
            <wp:extent cx="962025" cy="238125"/>
            <wp:effectExtent l="0" t="0" r="9525" b="952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4"/>
                    <pic:cNvPicPr>
                      <a:picLocks noChangeAspect="1" noChangeArrowheads="1"/>
                    </pic:cNvPicPr>
                  </pic:nvPicPr>
                  <pic:blipFill>
                    <a:blip r:embed="rId8" cstate="print">
                      <a:extLst>
                        <a:ext uri="{28A0092B-C50C-407E-A947-70E740481C1C}">
                          <a14:useLocalDpi xmlns:a14="http://schemas.microsoft.com/office/drawing/2010/main" val="0"/>
                        </a:ext>
                      </a:extLst>
                    </a:blip>
                    <a:srcRect l="17563" t="35385" r="11855" b="27368"/>
                    <a:stretch>
                      <a:fillRect/>
                    </a:stretch>
                  </pic:blipFill>
                  <pic:spPr bwMode="auto">
                    <a:xfrm>
                      <a:off x="0" y="0"/>
                      <a:ext cx="962025" cy="238125"/>
                    </a:xfrm>
                    <a:prstGeom prst="rect">
                      <a:avLst/>
                    </a:prstGeom>
                    <a:solidFill>
                      <a:srgbClr val="FFFFFF"/>
                    </a:solidFill>
                    <a:ln>
                      <a:noFill/>
                    </a:ln>
                  </pic:spPr>
                </pic:pic>
              </a:graphicData>
            </a:graphic>
          </wp:inline>
        </w:drawing>
      </w:r>
      <w:r>
        <w:rPr>
          <w:noProof/>
        </w:rPr>
        <w:br/>
      </w:r>
      <w:r w:rsidRPr="00574125">
        <w:rPr>
          <w:noProof/>
        </w:rPr>
        <w:drawing>
          <wp:inline distT="0" distB="0" distL="0" distR="0">
            <wp:extent cx="962025" cy="276225"/>
            <wp:effectExtent l="0" t="0" r="9525" b="952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5"/>
                    <pic:cNvPicPr>
                      <a:picLocks noChangeAspect="1" noChangeArrowheads="1"/>
                    </pic:cNvPicPr>
                  </pic:nvPicPr>
                  <pic:blipFill>
                    <a:blip r:embed="rId9" cstate="print">
                      <a:extLst>
                        <a:ext uri="{28A0092B-C50C-407E-A947-70E740481C1C}">
                          <a14:useLocalDpi xmlns:a14="http://schemas.microsoft.com/office/drawing/2010/main" val="0"/>
                        </a:ext>
                      </a:extLst>
                    </a:blip>
                    <a:srcRect l="6493" t="15813" b="27718"/>
                    <a:stretch>
                      <a:fillRect/>
                    </a:stretch>
                  </pic:blipFill>
                  <pic:spPr bwMode="auto">
                    <a:xfrm>
                      <a:off x="0" y="0"/>
                      <a:ext cx="962025" cy="276225"/>
                    </a:xfrm>
                    <a:prstGeom prst="rect">
                      <a:avLst/>
                    </a:prstGeom>
                    <a:solidFill>
                      <a:srgbClr val="FFFFFF"/>
                    </a:solidFill>
                    <a:ln>
                      <a:noFill/>
                    </a:ln>
                  </pic:spPr>
                </pic:pic>
              </a:graphicData>
            </a:graphic>
          </wp:inline>
        </w:drawing>
      </w:r>
      <w:r>
        <w:rPr>
          <w:noProof/>
        </w:rPr>
        <w:br/>
      </w:r>
      <w:r w:rsidRPr="00574125">
        <w:rPr>
          <w:noProof/>
        </w:rPr>
        <w:drawing>
          <wp:inline distT="0" distB="0" distL="0" distR="0">
            <wp:extent cx="952500" cy="24765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6"/>
                    <pic:cNvPicPr>
                      <a:picLocks noChangeAspect="1" noChangeArrowheads="1"/>
                    </pic:cNvPicPr>
                  </pic:nvPicPr>
                  <pic:blipFill>
                    <a:blip r:embed="rId10" cstate="print">
                      <a:extLst>
                        <a:ext uri="{28A0092B-C50C-407E-A947-70E740481C1C}">
                          <a14:useLocalDpi xmlns:a14="http://schemas.microsoft.com/office/drawing/2010/main" val="0"/>
                        </a:ext>
                      </a:extLst>
                    </a:blip>
                    <a:srcRect l="17709" t="31541" r="7291" b="14975"/>
                    <a:stretch>
                      <a:fillRect/>
                    </a:stretch>
                  </pic:blipFill>
                  <pic:spPr bwMode="auto">
                    <a:xfrm>
                      <a:off x="0" y="0"/>
                      <a:ext cx="952500" cy="247650"/>
                    </a:xfrm>
                    <a:prstGeom prst="rect">
                      <a:avLst/>
                    </a:prstGeom>
                    <a:solidFill>
                      <a:srgbClr val="FFFFFF"/>
                    </a:solidFill>
                    <a:ln>
                      <a:noFill/>
                    </a:ln>
                  </pic:spPr>
                </pic:pic>
              </a:graphicData>
            </a:graphic>
          </wp:inline>
        </w:drawing>
      </w:r>
    </w:p>
    <w:p w:rsidR="003D14D6" w:rsidRDefault="003D14D6" w:rsidP="003D14D6">
      <w:pPr>
        <w:pStyle w:val="Flietext"/>
        <w:spacing w:before="120"/>
      </w:pPr>
    </w:p>
    <w:p w:rsidR="003D14D6" w:rsidRDefault="003D14D6" w:rsidP="003D14D6">
      <w:pPr>
        <w:pStyle w:val="Flietext"/>
        <w:spacing w:before="120"/>
      </w:pPr>
      <w:r>
        <w:t>Zu Teilaufgabe 14.2:</w:t>
      </w:r>
    </w:p>
    <w:p w:rsidR="003D14D6" w:rsidRDefault="003D14D6" w:rsidP="003D14D6">
      <w:pPr>
        <w:pStyle w:val="Flietext"/>
        <w:numPr>
          <w:ilvl w:val="0"/>
          <w:numId w:val="5"/>
        </w:numPr>
      </w:pPr>
      <w:r>
        <w:t>Die Aussage des Diagramms kann nicht in natürliche Sprache übertragen werden. Dies kann ursächlich durch Textverständnisprobleme oder einen nicht reflektierten Umgang mit der eigenen Aussage hervorgerufen werden, wie insbesondere folgende Schülerlösung zeigt:</w:t>
      </w:r>
      <w:r>
        <w:br/>
      </w:r>
      <w:r w:rsidRPr="00574125">
        <w:rPr>
          <w:noProof/>
        </w:rPr>
        <w:drawing>
          <wp:inline distT="0" distB="0" distL="0" distR="0">
            <wp:extent cx="4819650" cy="714375"/>
            <wp:effectExtent l="0" t="0" r="0"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7"/>
                    <pic:cNvPicPr>
                      <a:picLocks noChangeAspect="1" noChangeArrowheads="1"/>
                    </pic:cNvPicPr>
                  </pic:nvPicPr>
                  <pic:blipFill>
                    <a:blip r:embed="rId11" cstate="print">
                      <a:extLst>
                        <a:ext uri="{28A0092B-C50C-407E-A947-70E740481C1C}">
                          <a14:useLocalDpi xmlns:a14="http://schemas.microsoft.com/office/drawing/2010/main" val="0"/>
                        </a:ext>
                      </a:extLst>
                    </a:blip>
                    <a:srcRect l="2399" t="1884" b="13969"/>
                    <a:stretch>
                      <a:fillRect/>
                    </a:stretch>
                  </pic:blipFill>
                  <pic:spPr bwMode="auto">
                    <a:xfrm>
                      <a:off x="0" y="0"/>
                      <a:ext cx="4819650" cy="714375"/>
                    </a:xfrm>
                    <a:prstGeom prst="rect">
                      <a:avLst/>
                    </a:prstGeom>
                    <a:solidFill>
                      <a:srgbClr val="FFFFFF"/>
                    </a:solidFill>
                    <a:ln>
                      <a:noFill/>
                    </a:ln>
                  </pic:spPr>
                </pic:pic>
              </a:graphicData>
            </a:graphic>
          </wp:inline>
        </w:drawing>
      </w:r>
    </w:p>
    <w:p w:rsidR="003D14D6" w:rsidRDefault="003D14D6" w:rsidP="003D14D6">
      <w:pPr>
        <w:pStyle w:val="Flietext"/>
        <w:spacing w:before="120"/>
      </w:pPr>
    </w:p>
    <w:p w:rsidR="003D14D6" w:rsidRDefault="003D14D6" w:rsidP="003D14D6">
      <w:pPr>
        <w:pStyle w:val="Flietext"/>
        <w:spacing w:before="120"/>
      </w:pPr>
      <w:r>
        <w:t xml:space="preserve">Zu Teilaufgabe 14.3: </w:t>
      </w:r>
    </w:p>
    <w:p w:rsidR="003D14D6" w:rsidRDefault="003D14D6" w:rsidP="003D14D6">
      <w:pPr>
        <w:pStyle w:val="Flietext"/>
        <w:numPr>
          <w:ilvl w:val="0"/>
          <w:numId w:val="5"/>
        </w:numPr>
      </w:pPr>
      <w:r>
        <w:t>Es wird kein Bezug zwischen beiden Diagrammen hergestellt. Insbesondere wird die Bedeutung des positiven und des negativen Bereichs des zweiten Diagramms nicht erfasst:</w:t>
      </w:r>
      <w:r>
        <w:br/>
      </w:r>
      <w:r w:rsidRPr="00574125">
        <w:rPr>
          <w:noProof/>
        </w:rPr>
        <w:drawing>
          <wp:inline distT="0" distB="0" distL="0" distR="0">
            <wp:extent cx="4324350" cy="2962275"/>
            <wp:effectExtent l="0" t="0" r="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8"/>
                    <pic:cNvPicPr>
                      <a:picLocks noChangeAspect="1" noChangeArrowheads="1"/>
                    </pic:cNvPicPr>
                  </pic:nvPicPr>
                  <pic:blipFill>
                    <a:blip r:embed="rId12" cstate="print">
                      <a:extLst>
                        <a:ext uri="{28A0092B-C50C-407E-A947-70E740481C1C}">
                          <a14:useLocalDpi xmlns:a14="http://schemas.microsoft.com/office/drawing/2010/main" val="0"/>
                        </a:ext>
                      </a:extLst>
                    </a:blip>
                    <a:srcRect t="1324" b="2870"/>
                    <a:stretch>
                      <a:fillRect/>
                    </a:stretch>
                  </pic:blipFill>
                  <pic:spPr bwMode="auto">
                    <a:xfrm>
                      <a:off x="0" y="0"/>
                      <a:ext cx="4324350" cy="2962275"/>
                    </a:xfrm>
                    <a:prstGeom prst="rect">
                      <a:avLst/>
                    </a:prstGeom>
                    <a:solidFill>
                      <a:srgbClr val="FFFFFF"/>
                    </a:solidFill>
                    <a:ln>
                      <a:noFill/>
                    </a:ln>
                  </pic:spPr>
                </pic:pic>
              </a:graphicData>
            </a:graphic>
          </wp:inline>
        </w:drawing>
      </w:r>
    </w:p>
    <w:p w:rsidR="003D14D6" w:rsidRPr="00041464" w:rsidRDefault="003D14D6" w:rsidP="003D14D6">
      <w:pPr>
        <w:pStyle w:val="Flietext"/>
        <w:numPr>
          <w:ilvl w:val="0"/>
          <w:numId w:val="5"/>
        </w:numPr>
      </w:pPr>
      <w:r>
        <w:t>Die Schülerinnen und Schüler erkennen und erfassen den Zusammenhang zwischen beiden Diagrammen zwar, können ihn aber nicht für die eigene Darstellung nutzen:</w:t>
      </w:r>
      <w:r>
        <w:br/>
      </w:r>
      <w:r w:rsidRPr="00574125">
        <w:rPr>
          <w:noProof/>
        </w:rPr>
        <w:lastRenderedPageBreak/>
        <w:drawing>
          <wp:inline distT="0" distB="0" distL="0" distR="0">
            <wp:extent cx="5467350" cy="63817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9"/>
                    <pic:cNvPicPr>
                      <a:picLocks noChangeAspect="1" noChangeArrowheads="1"/>
                    </pic:cNvPicPr>
                  </pic:nvPicPr>
                  <pic:blipFill>
                    <a:blip r:embed="rId13" cstate="print">
                      <a:extLst>
                        <a:ext uri="{28A0092B-C50C-407E-A947-70E740481C1C}">
                          <a14:useLocalDpi xmlns:a14="http://schemas.microsoft.com/office/drawing/2010/main" val="0"/>
                        </a:ext>
                      </a:extLst>
                    </a:blip>
                    <a:srcRect l="3880" t="13792" r="2032" b="19084"/>
                    <a:stretch>
                      <a:fillRect/>
                    </a:stretch>
                  </pic:blipFill>
                  <pic:spPr bwMode="auto">
                    <a:xfrm>
                      <a:off x="0" y="0"/>
                      <a:ext cx="5467350" cy="638175"/>
                    </a:xfrm>
                    <a:prstGeom prst="rect">
                      <a:avLst/>
                    </a:prstGeom>
                    <a:solidFill>
                      <a:srgbClr val="FFFFFF"/>
                    </a:solidFill>
                    <a:ln>
                      <a:noFill/>
                    </a:ln>
                  </pic:spPr>
                </pic:pic>
              </a:graphicData>
            </a:graphic>
          </wp:inline>
        </w:drawing>
      </w:r>
      <w:r w:rsidRPr="005D11C6">
        <w:rPr>
          <w:sz w:val="10"/>
          <w:szCs w:val="10"/>
        </w:rPr>
        <w:br/>
      </w:r>
      <w:r w:rsidRPr="00574125">
        <w:rPr>
          <w:noProof/>
        </w:rPr>
        <w:drawing>
          <wp:inline distT="0" distB="0" distL="0" distR="0">
            <wp:extent cx="4267200" cy="28860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0"/>
                    <pic:cNvPicPr>
                      <a:picLocks noChangeAspect="1" noChangeArrowheads="1"/>
                    </pic:cNvPicPr>
                  </pic:nvPicPr>
                  <pic:blipFill>
                    <a:blip r:embed="rId14" cstate="print">
                      <a:extLst>
                        <a:ext uri="{28A0092B-C50C-407E-A947-70E740481C1C}">
                          <a14:useLocalDpi xmlns:a14="http://schemas.microsoft.com/office/drawing/2010/main" val="0"/>
                        </a:ext>
                      </a:extLst>
                    </a:blip>
                    <a:srcRect t="1367" b="2278"/>
                    <a:stretch>
                      <a:fillRect/>
                    </a:stretch>
                  </pic:blipFill>
                  <pic:spPr bwMode="auto">
                    <a:xfrm>
                      <a:off x="0" y="0"/>
                      <a:ext cx="4267200" cy="2886075"/>
                    </a:xfrm>
                    <a:prstGeom prst="rect">
                      <a:avLst/>
                    </a:prstGeom>
                    <a:solidFill>
                      <a:srgbClr val="FFFFFF"/>
                    </a:solidFill>
                    <a:ln>
                      <a:noFill/>
                    </a:ln>
                  </pic:spPr>
                </pic:pic>
              </a:graphicData>
            </a:graphic>
          </wp:inline>
        </w:drawing>
      </w:r>
    </w:p>
    <w:p w:rsidR="003D14D6" w:rsidRPr="003D14D6" w:rsidRDefault="003D14D6" w:rsidP="003D14D6">
      <w:pPr>
        <w:pStyle w:val="IQB-Teilaufgabentitel"/>
        <w:rPr>
          <w:b/>
        </w:rPr>
      </w:pPr>
      <w:r w:rsidRPr="003D14D6">
        <w:rPr>
          <w:b/>
        </w:rPr>
        <w:t>Anregungen für den Unterricht</w:t>
      </w:r>
    </w:p>
    <w:p w:rsidR="003D14D6" w:rsidRDefault="003D14D6" w:rsidP="003D14D6">
      <w:pPr>
        <w:pStyle w:val="Flietext"/>
      </w:pPr>
      <w:r>
        <w:rPr>
          <w:noProof/>
        </w:rPr>
        <mc:AlternateContent>
          <mc:Choice Requires="wps">
            <w:drawing>
              <wp:anchor distT="0" distB="0" distL="114299" distR="114299" simplePos="0" relativeHeight="251659264" behindDoc="0" locked="0" layoutInCell="1" allowOverlap="1">
                <wp:simplePos x="0" y="0"/>
                <wp:positionH relativeFrom="column">
                  <wp:posOffset>43179</wp:posOffset>
                </wp:positionH>
                <wp:positionV relativeFrom="paragraph">
                  <wp:posOffset>1355725</wp:posOffset>
                </wp:positionV>
                <wp:extent cx="0" cy="668655"/>
                <wp:effectExtent l="19050" t="0" r="38100" b="55245"/>
                <wp:wrapNone/>
                <wp:docPr id="56" name="Gerader Verbinde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6865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81C8FD" id="Gerader Verbinder 56"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4pt,106.75pt" to="3.4pt,15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" strokecolor="#bfbfbf" strokeweight="4.5pt">
                <o:lock v:ext="edit" shapetype="f"/>
              </v:line>
            </w:pict>
          </mc:Fallback>
        </mc:AlternateContent>
      </w:r>
      <w:r>
        <w:t>Treten bei der Bearbeitung dieser Aufgabe Schwierigkeiten auf, die auf das Lesen von Diagrammen zurückzuführen sind, können die Schülerinnen und Schüler aufgefordert werden, aus weiteren Diagrammen zu anderen Umfragen Informationen zu entnehmen. Insbesondere die Ermittlung der Gesamtbefragten sowie die Ermittlung der Befragten zu einem isolierten Teil einer Befragung sind hier von Bedeutung. Denkbar ist darüber hinaus die Durchführung eigener Umfragen bzw. die Sammlung von Daten im eigenen Umfeld. Dabei werden die erhobenen Daten strukturiert erfasst (beispielsweise in Form einer Tabelle) und in einem nächsten Schritt in einem Diagramm dargestellt:</w:t>
      </w:r>
      <w:r w:rsidRPr="0035518B">
        <w:rPr>
          <w:noProo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3D14D6" w:rsidTr="00CB28B5">
        <w:trPr>
          <w:trHeight w:val="1020"/>
        </w:trPr>
        <w:tc>
          <w:tcPr>
            <w:tcW w:w="199" w:type="dxa"/>
            <w:tcBorders>
              <w:top w:val="nil"/>
              <w:left w:val="nil"/>
              <w:bottom w:val="nil"/>
              <w:right w:val="single" w:sz="4" w:space="0" w:color="auto"/>
            </w:tcBorders>
            <w:shd w:val="clear" w:color="auto" w:fill="auto"/>
            <w:vAlign w:val="center"/>
          </w:tcPr>
          <w:p w:rsidR="003D14D6" w:rsidRDefault="003D14D6" w:rsidP="00CB28B5">
            <w:pPr>
              <w:pStyle w:val="Flietext"/>
              <w:spacing w:before="120"/>
            </w:pPr>
          </w:p>
        </w:tc>
        <w:tc>
          <w:tcPr>
            <w:tcW w:w="8985" w:type="dxa"/>
            <w:tcBorders>
              <w:left w:val="single" w:sz="4" w:space="0" w:color="auto"/>
            </w:tcBorders>
            <w:shd w:val="clear" w:color="auto" w:fill="auto"/>
            <w:vAlign w:val="center"/>
          </w:tcPr>
          <w:p w:rsidR="003D14D6" w:rsidRDefault="003D14D6" w:rsidP="00CB28B5">
            <w:pPr>
              <w:pStyle w:val="Flietext"/>
              <w:spacing w:before="120"/>
            </w:pPr>
            <w:r>
              <w:t>Erkundige dich zu den Schülerzahlen an deiner Schule und ermittle die Anzahl der Mädchen und Jungen in den einzelnen Jahrgängen. Trage die Schülerzahlen in folgende Tabelle ein und erstelle dann ein Balkendiagramm.</w:t>
            </w:r>
          </w:p>
        </w:tc>
      </w:tr>
    </w:tbl>
    <w:p w:rsidR="003D14D6" w:rsidRPr="00387F0F" w:rsidRDefault="003D14D6" w:rsidP="003D14D6">
      <w:pPr>
        <w:pStyle w:val="Flietext"/>
      </w:pPr>
    </w:p>
    <w:tbl>
      <w:tblPr>
        <w:tblW w:w="0" w:type="auto"/>
        <w:tblInd w:w="108" w:type="dxa"/>
        <w:tblLayout w:type="fixed"/>
        <w:tblLook w:val="0000" w:firstRow="0" w:lastRow="0" w:firstColumn="0" w:lastColumn="0" w:noHBand="0" w:noVBand="0"/>
      </w:tblPr>
      <w:tblGrid>
        <w:gridCol w:w="2355"/>
        <w:gridCol w:w="2356"/>
        <w:gridCol w:w="2355"/>
        <w:gridCol w:w="2356"/>
      </w:tblGrid>
      <w:tr w:rsidR="003D14D6" w:rsidTr="00CB28B5">
        <w:trPr>
          <w:cantSplit/>
          <w:trHeight w:val="454"/>
          <w:tblHeader/>
        </w:trPr>
        <w:tc>
          <w:tcPr>
            <w:tcW w:w="2355" w:type="dxa"/>
            <w:tcBorders>
              <w:top w:val="single" w:sz="8" w:space="0" w:color="000000"/>
              <w:left w:val="single" w:sz="8" w:space="0" w:color="000000"/>
              <w:bottom w:val="single" w:sz="8" w:space="0" w:color="000000"/>
            </w:tcBorders>
            <w:shd w:val="clear" w:color="auto" w:fill="B0B3B2"/>
            <w:vAlign w:val="center"/>
          </w:tcPr>
          <w:p w:rsidR="003D14D6" w:rsidRPr="00DD3DE7" w:rsidRDefault="003D14D6" w:rsidP="00CB28B5">
            <w:pPr>
              <w:keepNext/>
              <w:snapToGrid w:val="0"/>
              <w:jc w:val="center"/>
              <w:rPr>
                <w:rFonts w:ascii="Helvetica" w:hAnsi="Helvetica" w:cs="Helvetica"/>
                <w:b/>
                <w:bCs/>
                <w:color w:val="000000"/>
                <w:szCs w:val="18"/>
              </w:rPr>
            </w:pPr>
          </w:p>
        </w:tc>
        <w:tc>
          <w:tcPr>
            <w:tcW w:w="2356" w:type="dxa"/>
            <w:tcBorders>
              <w:top w:val="single" w:sz="8" w:space="0" w:color="000000"/>
              <w:left w:val="single" w:sz="8" w:space="0" w:color="000000"/>
              <w:bottom w:val="single" w:sz="8" w:space="0" w:color="000000"/>
            </w:tcBorders>
            <w:shd w:val="clear" w:color="auto" w:fill="B0B3B2"/>
            <w:vAlign w:val="center"/>
          </w:tcPr>
          <w:p w:rsidR="003D14D6" w:rsidRPr="00DD3DE7" w:rsidRDefault="003D14D6" w:rsidP="00CB28B5">
            <w:pPr>
              <w:keepNext/>
              <w:jc w:val="center"/>
              <w:rPr>
                <w:rFonts w:ascii="Helvetica" w:hAnsi="Helvetica" w:cs="Helvetica"/>
                <w:b/>
                <w:bCs/>
                <w:color w:val="000000"/>
                <w:szCs w:val="18"/>
              </w:rPr>
            </w:pPr>
            <w:r w:rsidRPr="00DD3DE7">
              <w:rPr>
                <w:rFonts w:ascii="Helvetica" w:hAnsi="Helvetica" w:cs="Helvetica"/>
                <w:b/>
                <w:bCs/>
                <w:color w:val="000000"/>
                <w:szCs w:val="18"/>
              </w:rPr>
              <w:t>Mädchen</w:t>
            </w:r>
          </w:p>
        </w:tc>
        <w:tc>
          <w:tcPr>
            <w:tcW w:w="2355" w:type="dxa"/>
            <w:tcBorders>
              <w:top w:val="single" w:sz="8" w:space="0" w:color="000000"/>
              <w:left w:val="single" w:sz="8" w:space="0" w:color="000000"/>
              <w:bottom w:val="single" w:sz="8" w:space="0" w:color="000000"/>
            </w:tcBorders>
            <w:shd w:val="clear" w:color="auto" w:fill="B0B3B2"/>
            <w:vAlign w:val="center"/>
          </w:tcPr>
          <w:p w:rsidR="003D14D6" w:rsidRPr="00DD3DE7" w:rsidRDefault="003D14D6" w:rsidP="00CB28B5">
            <w:pPr>
              <w:keepNext/>
              <w:jc w:val="center"/>
              <w:rPr>
                <w:rFonts w:ascii="Helvetica" w:hAnsi="Helvetica" w:cs="Helvetica"/>
                <w:b/>
                <w:bCs/>
                <w:color w:val="000000"/>
                <w:szCs w:val="18"/>
              </w:rPr>
            </w:pPr>
            <w:r w:rsidRPr="00DD3DE7">
              <w:rPr>
                <w:rFonts w:ascii="Helvetica" w:hAnsi="Helvetica" w:cs="Helvetica"/>
                <w:b/>
                <w:bCs/>
                <w:color w:val="000000"/>
                <w:szCs w:val="18"/>
              </w:rPr>
              <w:t>Jungen</w:t>
            </w:r>
          </w:p>
        </w:tc>
        <w:tc>
          <w:tcPr>
            <w:tcW w:w="2356" w:type="dxa"/>
            <w:tcBorders>
              <w:top w:val="single" w:sz="8" w:space="0" w:color="000000"/>
              <w:left w:val="single" w:sz="8" w:space="0" w:color="000000"/>
              <w:bottom w:val="single" w:sz="8" w:space="0" w:color="000000"/>
              <w:right w:val="single" w:sz="8" w:space="0" w:color="000000"/>
            </w:tcBorders>
            <w:shd w:val="clear" w:color="auto" w:fill="B0B3B2"/>
            <w:vAlign w:val="center"/>
          </w:tcPr>
          <w:p w:rsidR="003D14D6" w:rsidRPr="00DD3DE7" w:rsidRDefault="003D14D6" w:rsidP="00CB28B5">
            <w:pPr>
              <w:keepNext/>
              <w:jc w:val="center"/>
              <w:rPr>
                <w:szCs w:val="18"/>
              </w:rPr>
            </w:pPr>
            <w:r w:rsidRPr="00DD3DE7">
              <w:rPr>
                <w:rFonts w:ascii="Helvetica" w:hAnsi="Helvetica" w:cs="Helvetica"/>
                <w:b/>
                <w:bCs/>
                <w:color w:val="000000"/>
                <w:szCs w:val="18"/>
              </w:rPr>
              <w:t>Summe</w:t>
            </w:r>
          </w:p>
        </w:tc>
      </w:tr>
      <w:tr w:rsidR="003D14D6" w:rsidTr="00CB28B5">
        <w:trPr>
          <w:cantSplit/>
          <w:trHeight w:val="454"/>
        </w:trPr>
        <w:tc>
          <w:tcPr>
            <w:tcW w:w="2355" w:type="dxa"/>
            <w:tcBorders>
              <w:top w:val="single" w:sz="8" w:space="0" w:color="000000"/>
              <w:left w:val="single" w:sz="8" w:space="0" w:color="000000"/>
              <w:bottom w:val="single" w:sz="8" w:space="0" w:color="000000"/>
            </w:tcBorders>
            <w:shd w:val="clear" w:color="auto" w:fill="B3B3B3"/>
            <w:vAlign w:val="center"/>
          </w:tcPr>
          <w:p w:rsidR="003D14D6" w:rsidRPr="00DD3DE7" w:rsidRDefault="003D14D6" w:rsidP="00CB28B5">
            <w:pPr>
              <w:jc w:val="center"/>
              <w:rPr>
                <w:rFonts w:ascii="Helvetica" w:hAnsi="Helvetica" w:cs="Helvetica"/>
                <w:color w:val="000000"/>
                <w:szCs w:val="18"/>
              </w:rPr>
            </w:pPr>
            <w:r w:rsidRPr="00DD3DE7">
              <w:rPr>
                <w:rFonts w:ascii="Helvetica" w:hAnsi="Helvetica" w:cs="Helvetica"/>
                <w:b/>
                <w:bCs/>
                <w:color w:val="000000"/>
                <w:szCs w:val="18"/>
              </w:rPr>
              <w:t>Jahrgang 5</w:t>
            </w:r>
          </w:p>
        </w:tc>
        <w:tc>
          <w:tcPr>
            <w:tcW w:w="2356" w:type="dxa"/>
            <w:tcBorders>
              <w:top w:val="single" w:sz="8" w:space="0" w:color="000000"/>
              <w:left w:val="single" w:sz="8" w:space="0" w:color="000000"/>
              <w:bottom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c>
          <w:tcPr>
            <w:tcW w:w="2355" w:type="dxa"/>
            <w:tcBorders>
              <w:top w:val="single" w:sz="8" w:space="0" w:color="000000"/>
              <w:left w:val="single" w:sz="8" w:space="0" w:color="000000"/>
              <w:bottom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c>
          <w:tcPr>
            <w:tcW w:w="2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r>
      <w:tr w:rsidR="003D14D6" w:rsidTr="00CB28B5">
        <w:trPr>
          <w:cantSplit/>
          <w:trHeight w:val="454"/>
        </w:trPr>
        <w:tc>
          <w:tcPr>
            <w:tcW w:w="2355" w:type="dxa"/>
            <w:tcBorders>
              <w:top w:val="single" w:sz="8" w:space="0" w:color="000000"/>
              <w:left w:val="single" w:sz="8" w:space="0" w:color="000000"/>
              <w:bottom w:val="single" w:sz="8" w:space="0" w:color="000000"/>
            </w:tcBorders>
            <w:shd w:val="clear" w:color="auto" w:fill="B3B3B3"/>
            <w:vAlign w:val="center"/>
          </w:tcPr>
          <w:p w:rsidR="003D14D6" w:rsidRPr="00DD3DE7" w:rsidRDefault="003D14D6" w:rsidP="00CB28B5">
            <w:pPr>
              <w:jc w:val="center"/>
              <w:rPr>
                <w:rFonts w:ascii="Helvetica" w:hAnsi="Helvetica" w:cs="Helvetica"/>
                <w:color w:val="000000"/>
                <w:szCs w:val="18"/>
              </w:rPr>
            </w:pPr>
            <w:r w:rsidRPr="00DD3DE7">
              <w:rPr>
                <w:rFonts w:ascii="Helvetica" w:hAnsi="Helvetica" w:cs="Helvetica"/>
                <w:b/>
                <w:bCs/>
                <w:color w:val="000000"/>
                <w:szCs w:val="18"/>
              </w:rPr>
              <w:t>Jahrgang 6</w:t>
            </w:r>
          </w:p>
        </w:tc>
        <w:tc>
          <w:tcPr>
            <w:tcW w:w="2356" w:type="dxa"/>
            <w:tcBorders>
              <w:top w:val="single" w:sz="8" w:space="0" w:color="000000"/>
              <w:left w:val="single" w:sz="8" w:space="0" w:color="000000"/>
              <w:bottom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c>
          <w:tcPr>
            <w:tcW w:w="2355" w:type="dxa"/>
            <w:tcBorders>
              <w:top w:val="single" w:sz="8" w:space="0" w:color="000000"/>
              <w:left w:val="single" w:sz="8" w:space="0" w:color="000000"/>
              <w:bottom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c>
          <w:tcPr>
            <w:tcW w:w="2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r>
      <w:tr w:rsidR="003D14D6" w:rsidTr="00CB28B5">
        <w:trPr>
          <w:cantSplit/>
          <w:trHeight w:val="454"/>
        </w:trPr>
        <w:tc>
          <w:tcPr>
            <w:tcW w:w="2355" w:type="dxa"/>
            <w:tcBorders>
              <w:top w:val="single" w:sz="8" w:space="0" w:color="000000"/>
              <w:left w:val="single" w:sz="8" w:space="0" w:color="000000"/>
              <w:bottom w:val="single" w:sz="8" w:space="0" w:color="000000"/>
            </w:tcBorders>
            <w:shd w:val="clear" w:color="auto" w:fill="B3B3B3"/>
            <w:vAlign w:val="center"/>
          </w:tcPr>
          <w:p w:rsidR="003D14D6" w:rsidRPr="00DD3DE7" w:rsidRDefault="003D14D6" w:rsidP="00CB28B5">
            <w:pPr>
              <w:jc w:val="center"/>
              <w:rPr>
                <w:rFonts w:ascii="Helvetica" w:hAnsi="Helvetica" w:cs="Helvetica"/>
                <w:color w:val="000000"/>
                <w:szCs w:val="18"/>
              </w:rPr>
            </w:pPr>
            <w:r w:rsidRPr="00DD3DE7">
              <w:rPr>
                <w:rFonts w:ascii="Helvetica" w:hAnsi="Helvetica" w:cs="Helvetica"/>
                <w:b/>
                <w:bCs/>
                <w:color w:val="000000"/>
                <w:szCs w:val="18"/>
              </w:rPr>
              <w:t>Jahrgang 7</w:t>
            </w:r>
          </w:p>
        </w:tc>
        <w:tc>
          <w:tcPr>
            <w:tcW w:w="2356" w:type="dxa"/>
            <w:tcBorders>
              <w:top w:val="single" w:sz="8" w:space="0" w:color="000000"/>
              <w:left w:val="single" w:sz="8" w:space="0" w:color="000000"/>
              <w:bottom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c>
          <w:tcPr>
            <w:tcW w:w="2355" w:type="dxa"/>
            <w:tcBorders>
              <w:top w:val="single" w:sz="8" w:space="0" w:color="000000"/>
              <w:left w:val="single" w:sz="8" w:space="0" w:color="000000"/>
              <w:bottom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c>
          <w:tcPr>
            <w:tcW w:w="2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r>
      <w:tr w:rsidR="003D14D6" w:rsidTr="00CB28B5">
        <w:trPr>
          <w:cantSplit/>
          <w:trHeight w:val="454"/>
        </w:trPr>
        <w:tc>
          <w:tcPr>
            <w:tcW w:w="2355" w:type="dxa"/>
            <w:tcBorders>
              <w:top w:val="single" w:sz="8" w:space="0" w:color="000000"/>
              <w:left w:val="single" w:sz="8" w:space="0" w:color="000000"/>
              <w:bottom w:val="single" w:sz="8" w:space="0" w:color="000000"/>
            </w:tcBorders>
            <w:shd w:val="clear" w:color="auto" w:fill="B3B3B3"/>
            <w:vAlign w:val="center"/>
          </w:tcPr>
          <w:p w:rsidR="003D14D6" w:rsidRPr="00DD3DE7" w:rsidRDefault="003D14D6" w:rsidP="00CB28B5">
            <w:pPr>
              <w:jc w:val="center"/>
              <w:rPr>
                <w:rFonts w:ascii="Helvetica" w:hAnsi="Helvetica" w:cs="Helvetica"/>
                <w:color w:val="000000"/>
                <w:szCs w:val="18"/>
              </w:rPr>
            </w:pPr>
            <w:r w:rsidRPr="00DD3DE7">
              <w:rPr>
                <w:rFonts w:ascii="Helvetica" w:hAnsi="Helvetica" w:cs="Helvetica"/>
                <w:b/>
                <w:bCs/>
                <w:color w:val="000000"/>
                <w:szCs w:val="18"/>
              </w:rPr>
              <w:t>Jahrgang 8</w:t>
            </w:r>
          </w:p>
        </w:tc>
        <w:tc>
          <w:tcPr>
            <w:tcW w:w="2356" w:type="dxa"/>
            <w:tcBorders>
              <w:top w:val="single" w:sz="8" w:space="0" w:color="000000"/>
              <w:left w:val="single" w:sz="8" w:space="0" w:color="000000"/>
              <w:bottom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c>
          <w:tcPr>
            <w:tcW w:w="2355" w:type="dxa"/>
            <w:tcBorders>
              <w:top w:val="single" w:sz="8" w:space="0" w:color="000000"/>
              <w:left w:val="single" w:sz="8" w:space="0" w:color="000000"/>
              <w:bottom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c>
          <w:tcPr>
            <w:tcW w:w="2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r>
      <w:tr w:rsidR="003D14D6" w:rsidTr="00CB28B5">
        <w:trPr>
          <w:cantSplit/>
          <w:trHeight w:val="454"/>
        </w:trPr>
        <w:tc>
          <w:tcPr>
            <w:tcW w:w="2355" w:type="dxa"/>
            <w:tcBorders>
              <w:top w:val="single" w:sz="8" w:space="0" w:color="000000"/>
              <w:left w:val="single" w:sz="8" w:space="0" w:color="000000"/>
              <w:bottom w:val="single" w:sz="8" w:space="0" w:color="000000"/>
            </w:tcBorders>
            <w:shd w:val="clear" w:color="auto" w:fill="B3B3B3"/>
            <w:vAlign w:val="center"/>
          </w:tcPr>
          <w:p w:rsidR="003D14D6" w:rsidRPr="00DD3DE7" w:rsidRDefault="003D14D6" w:rsidP="00CB28B5">
            <w:pPr>
              <w:jc w:val="center"/>
              <w:rPr>
                <w:rFonts w:ascii="Helvetica" w:hAnsi="Helvetica" w:cs="Helvetica"/>
                <w:color w:val="000000"/>
                <w:szCs w:val="18"/>
              </w:rPr>
            </w:pPr>
            <w:r w:rsidRPr="00DD3DE7">
              <w:rPr>
                <w:rFonts w:ascii="Helvetica" w:hAnsi="Helvetica" w:cs="Helvetica"/>
                <w:b/>
                <w:bCs/>
                <w:color w:val="000000"/>
                <w:szCs w:val="18"/>
              </w:rPr>
              <w:t>Jahrgang 9</w:t>
            </w:r>
          </w:p>
        </w:tc>
        <w:tc>
          <w:tcPr>
            <w:tcW w:w="2356" w:type="dxa"/>
            <w:tcBorders>
              <w:top w:val="single" w:sz="8" w:space="0" w:color="000000"/>
              <w:left w:val="single" w:sz="8" w:space="0" w:color="000000"/>
              <w:bottom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c>
          <w:tcPr>
            <w:tcW w:w="2355" w:type="dxa"/>
            <w:tcBorders>
              <w:top w:val="single" w:sz="8" w:space="0" w:color="000000"/>
              <w:left w:val="single" w:sz="8" w:space="0" w:color="000000"/>
              <w:bottom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c>
          <w:tcPr>
            <w:tcW w:w="2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r>
      <w:tr w:rsidR="003D14D6" w:rsidTr="00CB28B5">
        <w:trPr>
          <w:cantSplit/>
          <w:trHeight w:val="454"/>
        </w:trPr>
        <w:tc>
          <w:tcPr>
            <w:tcW w:w="2355" w:type="dxa"/>
            <w:tcBorders>
              <w:top w:val="single" w:sz="8" w:space="0" w:color="000000"/>
              <w:left w:val="single" w:sz="8" w:space="0" w:color="000000"/>
              <w:bottom w:val="single" w:sz="8" w:space="0" w:color="000000"/>
            </w:tcBorders>
            <w:shd w:val="clear" w:color="auto" w:fill="B3B3B3"/>
            <w:vAlign w:val="center"/>
          </w:tcPr>
          <w:p w:rsidR="003D14D6" w:rsidRPr="00DD3DE7" w:rsidRDefault="003D14D6" w:rsidP="00CB28B5">
            <w:pPr>
              <w:jc w:val="center"/>
              <w:rPr>
                <w:rFonts w:ascii="Helvetica" w:hAnsi="Helvetica" w:cs="Helvetica"/>
                <w:color w:val="000000"/>
                <w:szCs w:val="18"/>
              </w:rPr>
            </w:pPr>
            <w:r w:rsidRPr="00DD3DE7">
              <w:rPr>
                <w:rFonts w:ascii="Helvetica" w:hAnsi="Helvetica" w:cs="Helvetica"/>
                <w:b/>
                <w:bCs/>
                <w:color w:val="000000"/>
                <w:szCs w:val="18"/>
              </w:rPr>
              <w:t>Jahrgang 10</w:t>
            </w:r>
          </w:p>
        </w:tc>
        <w:tc>
          <w:tcPr>
            <w:tcW w:w="2356" w:type="dxa"/>
            <w:tcBorders>
              <w:top w:val="single" w:sz="8" w:space="0" w:color="000000"/>
              <w:left w:val="single" w:sz="8" w:space="0" w:color="000000"/>
              <w:bottom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c>
          <w:tcPr>
            <w:tcW w:w="2355" w:type="dxa"/>
            <w:tcBorders>
              <w:top w:val="single" w:sz="8" w:space="0" w:color="000000"/>
              <w:left w:val="single" w:sz="8" w:space="0" w:color="000000"/>
              <w:bottom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c>
          <w:tcPr>
            <w:tcW w:w="2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r>
      <w:tr w:rsidR="003D14D6" w:rsidTr="00CB28B5">
        <w:trPr>
          <w:cantSplit/>
          <w:trHeight w:val="454"/>
        </w:trPr>
        <w:tc>
          <w:tcPr>
            <w:tcW w:w="2355" w:type="dxa"/>
            <w:tcBorders>
              <w:top w:val="single" w:sz="8" w:space="0" w:color="000000"/>
              <w:left w:val="single" w:sz="8" w:space="0" w:color="000000"/>
              <w:bottom w:val="single" w:sz="8" w:space="0" w:color="000000"/>
            </w:tcBorders>
            <w:shd w:val="clear" w:color="auto" w:fill="B3B3B3"/>
            <w:vAlign w:val="center"/>
          </w:tcPr>
          <w:p w:rsidR="003D14D6" w:rsidRPr="00DD3DE7" w:rsidRDefault="003D14D6" w:rsidP="00CB28B5">
            <w:pPr>
              <w:jc w:val="center"/>
              <w:rPr>
                <w:rFonts w:ascii="Helvetica" w:hAnsi="Helvetica" w:cs="Helvetica"/>
                <w:color w:val="000000"/>
                <w:szCs w:val="18"/>
              </w:rPr>
            </w:pPr>
            <w:r w:rsidRPr="00DD3DE7">
              <w:rPr>
                <w:rFonts w:ascii="Helvetica" w:hAnsi="Helvetica" w:cs="Helvetica"/>
                <w:b/>
                <w:bCs/>
                <w:color w:val="000000"/>
                <w:szCs w:val="18"/>
              </w:rPr>
              <w:t>Summe</w:t>
            </w:r>
          </w:p>
        </w:tc>
        <w:tc>
          <w:tcPr>
            <w:tcW w:w="2356" w:type="dxa"/>
            <w:tcBorders>
              <w:top w:val="single" w:sz="8" w:space="0" w:color="000000"/>
              <w:left w:val="single" w:sz="8" w:space="0" w:color="000000"/>
              <w:bottom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c>
          <w:tcPr>
            <w:tcW w:w="2355" w:type="dxa"/>
            <w:tcBorders>
              <w:top w:val="single" w:sz="8" w:space="0" w:color="000000"/>
              <w:left w:val="single" w:sz="8" w:space="0" w:color="000000"/>
              <w:bottom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c>
          <w:tcPr>
            <w:tcW w:w="23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3D14D6" w:rsidRPr="00DD3DE7" w:rsidRDefault="003D14D6" w:rsidP="00CB28B5">
            <w:pPr>
              <w:snapToGrid w:val="0"/>
              <w:jc w:val="center"/>
              <w:rPr>
                <w:rFonts w:ascii="Helvetica" w:hAnsi="Helvetica" w:cs="Helvetica"/>
                <w:color w:val="000000"/>
                <w:szCs w:val="18"/>
              </w:rPr>
            </w:pPr>
          </w:p>
        </w:tc>
      </w:tr>
    </w:tbl>
    <w:p w:rsidR="003D14D6" w:rsidRDefault="003D14D6" w:rsidP="003D14D6">
      <w:pPr>
        <w:pStyle w:val="Flietext"/>
      </w:pPr>
    </w:p>
    <w:p w:rsidR="003D14D6" w:rsidRDefault="003D14D6" w:rsidP="003D14D6">
      <w:pPr>
        <w:pStyle w:val="Flietext"/>
      </w:pPr>
      <w:r>
        <w:t xml:space="preserve">Dabei ist für einen Einstieg der Umgang mit einfach strukturiertem Datenmaterial sinnvoll, während in einem nächsten Schritt Daten aus der Lebenswelt der Schülerinnen und Schüler erhoben </w:t>
      </w:r>
      <w:r>
        <w:lastRenderedPageBreak/>
        <w:t>werden können, die eine Hypothesenbildung im Vorfeld ermöglichen (z. B.: Wie kommen die Schülerinnen und Schüler zur Schule?).</w:t>
      </w:r>
    </w:p>
    <w:p w:rsidR="003D14D6" w:rsidRPr="0053290E" w:rsidRDefault="003D14D6" w:rsidP="003D14D6">
      <w:pPr>
        <w:pStyle w:val="Flietext"/>
      </w:pPr>
      <w:r>
        <w:t>Die wesentliche Schwierigkeit bei Teilaufgabe 14.3 besteht darin, die Informationen aus dem ersten Diagramm auf die Darstellung der Unterschiede im zweiten Diagramm zu übertragen. Auch dies kann bezüglich der Mädchen- und Jungenzahl in den Jahrgangsstufen der obigen Beispielaufgabe nochmals thematisiert und in ein zu Teilaufgabe 14.3 analoges Diagramm überführt werden.</w:t>
      </w:r>
    </w:p>
    <w:p w:rsidR="00E0779F" w:rsidRDefault="00E0779F">
      <w:pPr>
        <w:pStyle w:val="IQB-Teilaufgabentitel"/>
      </w:pPr>
    </w:p>
    <w:sectPr w:rsidR="00E0779F" w:rsidSect="00DB65DC">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3D7C00FE"/>
    <w:multiLevelType w:val="hybridMultilevel"/>
    <w:tmpl w:val="8DC07A4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F381BA5"/>
    <w:multiLevelType w:val="hybridMultilevel"/>
    <w:tmpl w:val="DC08DCA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14D6"/>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0779F"/>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9E4950C"/>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3D14D6"/>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104D2-2796-4794-9619-901E05D39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670</Words>
  <Characters>4228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2024-04-26T08:03:00Z</dcterms:created>
  <dcterms:modified xsi:type="dcterms:W3CDTF">2024-04-26T08:57:00Z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